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2E3D5">
      <w:pPr>
        <w:pStyle w:val="2"/>
        <w:pageBreakBefore w:val="0"/>
        <w:widowControl w:val="0"/>
        <w:numPr>
          <w:ilvl w:val="0"/>
          <w:numId w:val="0"/>
        </w:numPr>
        <w:kinsoku/>
        <w:wordWrap/>
        <w:overflowPunct/>
        <w:topLinePunct w:val="0"/>
        <w:bidi w:val="0"/>
        <w:adjustRightInd/>
        <w:snapToGrid/>
        <w:spacing w:before="0" w:beforeAutospacing="0" w:after="0" w:afterAutospacing="0" w:line="58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
      </w:pPr>
      <w:bookmarkStart w:id="0" w:name="OLE_LINK1"/>
      <w:bookmarkStart w:id="1" w:name="OLE_LINK2"/>
      <w:r>
        <w:rPr>
          <w:rFonts w:hint="eastAsia" w:ascii="方正小标宋简体" w:hAnsi="方正小标宋简体" w:eastAsia="方正小标宋简体" w:cs="方正小标宋简体"/>
          <w:b w:val="0"/>
          <w:bCs w:val="0"/>
          <w:sz w:val="44"/>
          <w:szCs w:val="44"/>
          <w:highlight w:val="none"/>
          <w:lang w:val="en-US" w:eastAsia="zh-CN"/>
        </w:rPr>
        <w:t>龙岩城发鑫融投资发展有限公司单一资产管理计划管理机构选取比选</w:t>
      </w:r>
      <w:bookmarkEnd w:id="0"/>
      <w:r>
        <w:rPr>
          <w:rFonts w:hint="eastAsia" w:ascii="方正小标宋简体" w:hAnsi="方正小标宋简体" w:eastAsia="方正小标宋简体" w:cs="方正小标宋简体"/>
          <w:b w:val="0"/>
          <w:bCs w:val="0"/>
          <w:sz w:val="44"/>
          <w:szCs w:val="44"/>
          <w:highlight w:val="none"/>
          <w:lang w:val="en-US" w:eastAsia="zh-CN"/>
        </w:rPr>
        <w:t>方案</w:t>
      </w:r>
      <w:bookmarkEnd w:id="1"/>
    </w:p>
    <w:p w14:paraId="0385850A">
      <w:pPr>
        <w:spacing w:line="580" w:lineRule="exact"/>
        <w:jc w:val="center"/>
        <w:rPr>
          <w:rFonts w:hint="eastAsia" w:ascii="Times New Roman" w:hAnsi="Times New Roman" w:eastAsia="Arial Unicode MS" w:cs="Times New Roman"/>
          <w:sz w:val="44"/>
          <w:szCs w:val="44"/>
          <w:highlight w:val="none"/>
          <w:lang w:val="en-US" w:eastAsia="zh-CN"/>
        </w:rPr>
      </w:pPr>
    </w:p>
    <w:p w14:paraId="59F57073">
      <w:pPr>
        <w:pageBreakBefore w:val="0"/>
        <w:widowControl w:val="0"/>
        <w:kinsoku/>
        <w:wordWrap/>
        <w:overflowPunct/>
        <w:topLinePunct w:val="0"/>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龙岩城发鑫融投资发展有限公司（简称“鑫融公司”）因业务需要，需设立单一资产管理计划，特此选聘资质合规、风控完善、熟悉国企监管要求、具备同类业务实操经验的证券公司作为资管计划管理人，保障资管计划严格按照既定投资范围合规稳健运作，实现国有资产长期稳健增值。为规范整个选聘环节行为，设立本比选方案。方案内容如下：</w:t>
      </w:r>
    </w:p>
    <w:p w14:paraId="65FDC1EA">
      <w:pPr>
        <w:pStyle w:val="2"/>
        <w:pageBreakBefore w:val="0"/>
        <w:widowControl w:val="0"/>
        <w:numPr>
          <w:ilvl w:val="0"/>
          <w:numId w:val="0"/>
        </w:numPr>
        <w:kinsoku/>
        <w:wordWrap/>
        <w:overflowPunct/>
        <w:topLinePunct w:val="0"/>
        <w:bidi w:val="0"/>
        <w:adjustRightInd/>
        <w:snapToGrid/>
        <w:spacing w:before="0" w:beforeAutospacing="0" w:after="0" w:afterAutospacing="0" w:line="58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一、比选资格条件</w:t>
      </w:r>
    </w:p>
    <w:p w14:paraId="27B60C4C">
      <w:pPr>
        <w:bidi w:val="0"/>
        <w:spacing w:line="58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1.在中国境内依法注册，具有独立法人资格，持有中国证监会颁发的证券公司经营证券业务许可证，且具备从事证券资产管理业务的资质。</w:t>
      </w:r>
    </w:p>
    <w:p w14:paraId="33355CF4">
      <w:pPr>
        <w:bidi w:val="0"/>
        <w:spacing w:line="58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2.龙岩市内设有分支机构；</w:t>
      </w:r>
    </w:p>
    <w:p w14:paraId="70A7C011">
      <w:pPr>
        <w:bidi w:val="0"/>
        <w:spacing w:line="58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3.净资本在50亿元人民币以上（含）；</w:t>
      </w:r>
    </w:p>
    <w:p w14:paraId="2FD9C3B5">
      <w:pPr>
        <w:bidi w:val="0"/>
        <w:spacing w:line="58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4.在管资管计划管理规模不低于20亿元人民币；</w:t>
      </w:r>
    </w:p>
    <w:p w14:paraId="37D2D01D">
      <w:pPr>
        <w:bidi w:val="0"/>
        <w:spacing w:line="58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5.近3年无重大违法违规记录，未受到证监会、证券业协会等监管机构的行政处罚，无重大诉讼、仲裁事项。</w:t>
      </w:r>
    </w:p>
    <w:p w14:paraId="2D867352">
      <w:pPr>
        <w:pStyle w:val="2"/>
        <w:pageBreakBefore w:val="0"/>
        <w:widowControl w:val="0"/>
        <w:numPr>
          <w:ilvl w:val="0"/>
          <w:numId w:val="0"/>
        </w:numPr>
        <w:kinsoku/>
        <w:wordWrap/>
        <w:overflowPunct/>
        <w:topLinePunct w:val="0"/>
        <w:bidi w:val="0"/>
        <w:adjustRightInd/>
        <w:snapToGrid/>
        <w:spacing w:before="0" w:beforeAutospacing="0" w:after="0" w:afterAutospacing="0" w:line="58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二、比选方案</w:t>
      </w:r>
    </w:p>
    <w:p w14:paraId="27CF1940">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经审核通过后，符合比选资格条件的券商方可参与本次比选，比选采用综合评分法（满分100分），对各比选申请人取评选工作组人员评分的算术平均值为得分，按其得分由高到低顺序排列（得分相同的，依次按交易成本、服务质量、资质、融资支持的优先级排列）。评分标准如下：</w:t>
      </w:r>
    </w:p>
    <w:p w14:paraId="20D1FB71">
      <w:pPr>
        <w:pStyle w:val="3"/>
        <w:pageBreakBefore w:val="0"/>
        <w:widowControl w:val="0"/>
        <w:kinsoku/>
        <w:wordWrap/>
        <w:overflowPunct/>
        <w:topLinePunct w:val="0"/>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（一）综合实力（30分）</w:t>
      </w:r>
    </w:p>
    <w:p w14:paraId="23ECD8D5">
      <w:pPr>
        <w:bidi w:val="0"/>
        <w:spacing w:line="580" w:lineRule="exact"/>
        <w:ind w:firstLine="640"/>
        <w:rPr>
          <w:rFonts w:hint="default"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1.关联方受限率（因参选机构及其关联方担任IPO项目保荐机构或主承销商，导致该资管计划无法参与新股询价的项目数量占同期全市场IPO项目总数的比例，10分）；2.网下打新报价入围率（10分）；3.近两年有为龙岩市国有企业提供资管打新专户的案例（10分）。</w:t>
      </w:r>
    </w:p>
    <w:p w14:paraId="42760539">
      <w:pPr>
        <w:bidi w:val="0"/>
        <w:spacing w:line="580" w:lineRule="exact"/>
        <w:ind w:firstLine="640"/>
        <w:rPr>
          <w:rFonts w:hint="default"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其中，关联方受限率提供近两年数据情况，取两年平均值计算分值，数值越高得分越低；网下打新报价入围率提供近两年数据情况，取两年平均值计算分值，数值越高得分越高；为龙岩市国有企业提供资管打新专户案例的数量越多，得分越高；以上三项根据参选机构家数确定最小分值（分值/N）。</w:t>
      </w:r>
    </w:p>
    <w:p w14:paraId="7788F79C">
      <w:pPr>
        <w:pStyle w:val="3"/>
        <w:pageBreakBefore w:val="0"/>
        <w:widowControl w:val="0"/>
        <w:kinsoku/>
        <w:wordWrap/>
        <w:overflowPunct/>
        <w:topLinePunct w:val="0"/>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（二）交易成本（55分）</w:t>
      </w:r>
    </w:p>
    <w:p w14:paraId="601D9EDA">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根据比选申请人承诺的对各类交易佣金、手续费率的收费标准进行排名评定得分，各类费用收费标准越低则得分越高。其中：1.管理费（28分）；2.托管费（2分）；3.交易佣金（25分），其中：各类证券交易佣金（除北交所，5分）；北交所交易佣金（5分）；大宗交易费率（5分）；可转债、可交债手续费（5分）；国债逆回购、交易式逆回购手续费（5分）。</w:t>
      </w:r>
    </w:p>
    <w:p w14:paraId="6514DF58">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其中，交易佣金按全佣金口径报价，佣金为0得满分，其他则按照参选机构所报佣金从低到高排名，根据参选机构家数确定最小分值（分值/N）。</w:t>
      </w:r>
    </w:p>
    <w:p w14:paraId="0B73C4AD">
      <w:pPr>
        <w:pStyle w:val="3"/>
        <w:pageBreakBefore w:val="0"/>
        <w:widowControl w:val="0"/>
        <w:kinsoku/>
        <w:wordWrap/>
        <w:overflowPunct/>
        <w:topLinePunct w:val="0"/>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（三）服务质量（15分）</w:t>
      </w:r>
    </w:p>
    <w:p w14:paraId="6F6AD819">
      <w:pPr>
        <w:bidi w:val="0"/>
        <w:spacing w:line="580" w:lineRule="exact"/>
        <w:ind w:firstLine="640" w:firstLineChars="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在龙岩市设置有经营机构或办事处（3分）；服务机构确保至少有1名专员对接，保证提供上门服务，并及时响应公司的业务需求,若服务过程无法满足企业需求，则在今后的比选业务扣减相应服务质量分（3分）；承诺每月、季、年度配合鑫融公司以高效、便捷的方式及时提供报告、报表、对账单等服务（3分）；每月提供市场分析报告、投资策略、季度提供最新的行业研究报告（3分）；承诺</w:t>
      </w:r>
      <w:r>
        <w:rPr>
          <w:rFonts w:hint="eastAsia" w:ascii="仿宋_GB2312" w:hAnsi="仿宋_GB2312" w:eastAsia="仿宋_GB2312" w:cs="仿宋_GB2312"/>
          <w:kern w:val="0"/>
          <w:sz w:val="32"/>
          <w:szCs w:val="32"/>
          <w:highlight w:val="none"/>
          <w:lang w:val="en-US" w:eastAsia="zh-CN"/>
        </w:rPr>
        <w:t>能够严格配合鑫融公司及城发集团的决策流程、信息披露要求和监督检查工作</w:t>
      </w:r>
      <w:r>
        <w:rPr>
          <w:rFonts w:hint="eastAsia" w:ascii="仿宋_GB2312" w:hAnsi="仿宋_GB2312" w:eastAsia="仿宋_GB2312" w:cs="仿宋_GB2312"/>
          <w:kern w:val="0"/>
          <w:sz w:val="32"/>
          <w:szCs w:val="48"/>
          <w:highlight w:val="none"/>
          <w:lang w:val="en-US" w:eastAsia="zh-CN"/>
        </w:rPr>
        <w:t>（3分）。</w:t>
      </w:r>
    </w:p>
    <w:p w14:paraId="7A32B6D1">
      <w:pPr>
        <w:bidi w:val="0"/>
        <w:spacing w:line="580" w:lineRule="exact"/>
        <w:ind w:firstLine="640" w:firstLineChars="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参选机构需对自身的服务能力出具承诺函。</w:t>
      </w:r>
    </w:p>
    <w:p w14:paraId="5722DE59">
      <w:pPr>
        <w:pStyle w:val="2"/>
        <w:pageBreakBefore w:val="0"/>
        <w:widowControl w:val="0"/>
        <w:numPr>
          <w:ilvl w:val="0"/>
          <w:numId w:val="0"/>
        </w:numPr>
        <w:kinsoku/>
        <w:wordWrap/>
        <w:overflowPunct/>
        <w:topLinePunct w:val="0"/>
        <w:bidi w:val="0"/>
        <w:adjustRightInd/>
        <w:snapToGrid/>
        <w:spacing w:before="0" w:beforeAutospacing="0" w:after="0" w:afterAutospacing="0" w:line="58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三、比选申请材料</w:t>
      </w:r>
    </w:p>
    <w:p w14:paraId="64F5A941">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申请材料包括但不限于：</w:t>
      </w:r>
    </w:p>
    <w:p w14:paraId="0D26C638">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1.申请意向函；</w:t>
      </w:r>
    </w:p>
    <w:p w14:paraId="3CE96E5C">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2.诚信承诺书；</w:t>
      </w:r>
    </w:p>
    <w:p w14:paraId="21EBC4BF">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3.资质证明材料（包含营业执照、资产管理业务资格等各类业务资质、资格证书、分支机构、办事处证明、财务数据等资料）；</w:t>
      </w:r>
    </w:p>
    <w:p w14:paraId="3CA8F9A8">
      <w:pPr>
        <w:bidi w:val="0"/>
        <w:spacing w:line="580" w:lineRule="exact"/>
        <w:ind w:firstLine="64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4.报价方案（包括但不限于承诺给鑫融公司的各项管理费、托管费、交易佣金等）；</w:t>
      </w:r>
    </w:p>
    <w:p w14:paraId="209E9EDE">
      <w:pPr>
        <w:bidi w:val="0"/>
        <w:spacing w:line="580" w:lineRule="exact"/>
        <w:ind w:firstLine="640"/>
        <w:rPr>
          <w:rFonts w:hint="default"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5.报价信息汇总表；</w:t>
      </w:r>
    </w:p>
    <w:p w14:paraId="1AB37D1A">
      <w:pPr>
        <w:bidi w:val="0"/>
        <w:spacing w:line="580" w:lineRule="exact"/>
        <w:ind w:firstLine="640" w:firstLineChars="0"/>
        <w:rPr>
          <w:rFonts w:hint="eastAsia" w:ascii="仿宋_GB2312" w:hAnsi="仿宋_GB2312" w:eastAsia="仿宋_GB2312" w:cs="仿宋_GB2312"/>
          <w:kern w:val="0"/>
          <w:sz w:val="32"/>
          <w:szCs w:val="48"/>
          <w:highlight w:val="none"/>
          <w:lang w:val="en-US" w:eastAsia="zh-CN"/>
        </w:rPr>
      </w:pPr>
      <w:r>
        <w:rPr>
          <w:rFonts w:hint="eastAsia" w:ascii="仿宋_GB2312" w:hAnsi="仿宋_GB2312" w:eastAsia="仿宋_GB2312" w:cs="仿宋_GB2312"/>
          <w:kern w:val="0"/>
          <w:sz w:val="32"/>
          <w:szCs w:val="48"/>
          <w:highlight w:val="none"/>
          <w:lang w:val="en-US" w:eastAsia="zh-CN"/>
        </w:rPr>
        <w:t>6.根据比选方案提交各项业务服务承诺。</w:t>
      </w:r>
    </w:p>
    <w:p w14:paraId="485E6FCB">
      <w:pPr>
        <w:spacing w:line="580" w:lineRule="exact"/>
        <w:ind w:firstLine="640"/>
        <w:rPr>
          <w:rFonts w:hint="eastAsia" w:ascii="黑体" w:hAnsi="黑体" w:eastAsia="黑体" w:cs="黑体"/>
          <w:b w:val="0"/>
          <w:bCs w:val="0"/>
          <w:color w:val="1A1A1A"/>
          <w:sz w:val="31"/>
          <w:szCs w:val="31"/>
          <w:highlight w:val="none"/>
          <w:lang w:val="en-US" w:eastAsia="zh-CN"/>
        </w:rPr>
      </w:pPr>
      <w:r>
        <w:rPr>
          <w:rFonts w:hint="eastAsia" w:ascii="黑体" w:hAnsi="黑体" w:eastAsia="黑体" w:cs="黑体"/>
          <w:b w:val="0"/>
          <w:bCs w:val="0"/>
          <w:color w:val="1A1A1A"/>
          <w:sz w:val="31"/>
          <w:szCs w:val="31"/>
          <w:highlight w:val="none"/>
          <w:lang w:val="en-US" w:eastAsia="zh-CN"/>
        </w:rPr>
        <w:t>四、比选程序</w:t>
      </w:r>
    </w:p>
    <w:p w14:paraId="01F82AD4">
      <w:pPr>
        <w:bidi w:val="0"/>
        <w:spacing w:line="580" w:lineRule="exact"/>
        <w:ind w:firstLine="64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比选</w:t>
      </w:r>
      <w:r>
        <w:rPr>
          <w:rFonts w:hint="eastAsia" w:ascii="仿宋_GB2312" w:hAnsi="仿宋_GB2312" w:eastAsia="仿宋_GB2312" w:cs="仿宋_GB2312"/>
          <w:kern w:val="0"/>
          <w:sz w:val="32"/>
          <w:szCs w:val="32"/>
          <w:highlight w:val="none"/>
          <w:lang w:val="en-US" w:eastAsia="zh-CN"/>
        </w:rPr>
        <w:t>评审</w:t>
      </w:r>
      <w:r>
        <w:rPr>
          <w:rFonts w:hint="eastAsia" w:ascii="仿宋_GB2312" w:hAnsi="仿宋_GB2312" w:eastAsia="仿宋_GB2312" w:cs="仿宋_GB2312"/>
          <w:kern w:val="0"/>
          <w:sz w:val="32"/>
          <w:szCs w:val="32"/>
          <w:highlight w:val="none"/>
        </w:rPr>
        <w:t>由</w:t>
      </w:r>
      <w:r>
        <w:rPr>
          <w:rFonts w:hint="eastAsia" w:ascii="仿宋_GB2312" w:hAnsi="仿宋_GB2312" w:eastAsia="仿宋_GB2312" w:cs="仿宋_GB2312"/>
          <w:kern w:val="0"/>
          <w:sz w:val="32"/>
          <w:szCs w:val="32"/>
          <w:highlight w:val="none"/>
          <w:lang w:val="en-US" w:eastAsia="zh-CN"/>
        </w:rPr>
        <w:t>鑫融公司组织评审工作。评审工作</w:t>
      </w:r>
      <w:r>
        <w:rPr>
          <w:rFonts w:hint="eastAsia" w:ascii="仿宋_GB2312" w:hAnsi="仿宋_GB2312" w:eastAsia="仿宋_GB2312" w:cs="仿宋_GB2312"/>
          <w:kern w:val="0"/>
          <w:sz w:val="32"/>
          <w:szCs w:val="32"/>
          <w:highlight w:val="none"/>
        </w:rPr>
        <w:t>遵循客观、公平、公正、审慎的原则，</w:t>
      </w:r>
      <w:r>
        <w:rPr>
          <w:rFonts w:hint="eastAsia" w:ascii="仿宋_GB2312" w:hAnsi="仿宋_GB2312" w:eastAsia="仿宋_GB2312" w:cs="仿宋_GB2312"/>
          <w:kern w:val="0"/>
          <w:sz w:val="32"/>
          <w:szCs w:val="32"/>
          <w:highlight w:val="none"/>
          <w:lang w:val="en-US" w:eastAsia="zh-CN"/>
        </w:rPr>
        <w:t>依据各比选申请人提交的有关</w:t>
      </w:r>
      <w:r>
        <w:rPr>
          <w:rFonts w:hint="eastAsia" w:ascii="仿宋_GB2312" w:hAnsi="仿宋_GB2312" w:eastAsia="仿宋_GB2312" w:cs="仿宋_GB2312"/>
          <w:kern w:val="0"/>
          <w:sz w:val="32"/>
          <w:szCs w:val="32"/>
          <w:highlight w:val="none"/>
        </w:rPr>
        <w:t>材料按</w:t>
      </w:r>
      <w:r>
        <w:rPr>
          <w:rFonts w:hint="eastAsia" w:ascii="仿宋_GB2312" w:hAnsi="仿宋_GB2312" w:eastAsia="仿宋_GB2312" w:cs="仿宋_GB2312"/>
          <w:kern w:val="0"/>
          <w:sz w:val="32"/>
          <w:szCs w:val="32"/>
          <w:highlight w:val="none"/>
          <w:lang w:val="en-US" w:eastAsia="zh-CN"/>
        </w:rPr>
        <w:t>比选</w:t>
      </w:r>
      <w:r>
        <w:rPr>
          <w:rFonts w:hint="eastAsia" w:ascii="仿宋_GB2312" w:hAnsi="仿宋_GB2312" w:eastAsia="仿宋_GB2312" w:cs="仿宋_GB2312"/>
          <w:kern w:val="0"/>
          <w:sz w:val="32"/>
          <w:szCs w:val="32"/>
          <w:highlight w:val="none"/>
        </w:rPr>
        <w:t>评分标准进行综合评分</w:t>
      </w:r>
      <w:r>
        <w:rPr>
          <w:rFonts w:hint="eastAsia" w:ascii="仿宋_GB2312" w:hAnsi="仿宋_GB2312" w:eastAsia="仿宋_GB2312" w:cs="仿宋_GB2312"/>
          <w:kern w:val="0"/>
          <w:sz w:val="32"/>
          <w:szCs w:val="32"/>
          <w:highlight w:val="none"/>
          <w:lang w:eastAsia="zh-CN"/>
        </w:rPr>
        <w:t>。</w:t>
      </w:r>
    </w:p>
    <w:p w14:paraId="7BC07777">
      <w:pPr>
        <w:bidi w:val="0"/>
        <w:spacing w:line="58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完成对全部合格</w:t>
      </w:r>
      <w:r>
        <w:rPr>
          <w:rFonts w:hint="eastAsia" w:ascii="仿宋_GB2312" w:hAnsi="仿宋_GB2312" w:eastAsia="仿宋_GB2312" w:cs="仿宋_GB2312"/>
          <w:kern w:val="0"/>
          <w:sz w:val="32"/>
          <w:szCs w:val="32"/>
          <w:highlight w:val="none"/>
        </w:rPr>
        <w:t>比选申请人</w:t>
      </w:r>
      <w:r>
        <w:rPr>
          <w:rFonts w:hint="eastAsia" w:ascii="仿宋_GB2312" w:hAnsi="仿宋_GB2312" w:eastAsia="仿宋_GB2312" w:cs="仿宋_GB2312"/>
          <w:kern w:val="0"/>
          <w:sz w:val="32"/>
          <w:szCs w:val="32"/>
          <w:highlight w:val="none"/>
          <w:lang w:val="en-US" w:eastAsia="zh-CN"/>
        </w:rPr>
        <w:t>的评分</w:t>
      </w:r>
      <w:r>
        <w:rPr>
          <w:rFonts w:hint="eastAsia" w:ascii="仿宋_GB2312" w:hAnsi="仿宋_GB2312" w:eastAsia="仿宋_GB2312" w:cs="仿宋_GB2312"/>
          <w:kern w:val="0"/>
          <w:sz w:val="32"/>
          <w:szCs w:val="32"/>
          <w:highlight w:val="none"/>
        </w:rPr>
        <w:t>审核后，按综合得分从高到低进行排名，</w:t>
      </w:r>
      <w:r>
        <w:rPr>
          <w:rFonts w:hint="eastAsia" w:ascii="仿宋_GB2312" w:hAnsi="仿宋_GB2312" w:eastAsia="仿宋_GB2312" w:cs="仿宋_GB2312"/>
          <w:kern w:val="0"/>
          <w:sz w:val="32"/>
          <w:szCs w:val="32"/>
          <w:highlight w:val="none"/>
          <w:lang w:val="en-US" w:eastAsia="zh-CN"/>
        </w:rPr>
        <w:t>选取</w:t>
      </w:r>
      <w:r>
        <w:rPr>
          <w:rFonts w:hint="eastAsia" w:ascii="仿宋_GB2312" w:hAnsi="仿宋_GB2312" w:eastAsia="仿宋_GB2312" w:cs="仿宋_GB2312"/>
          <w:kern w:val="0"/>
          <w:sz w:val="32"/>
          <w:szCs w:val="32"/>
          <w:highlight w:val="none"/>
        </w:rPr>
        <w:t>综合得分</w:t>
      </w:r>
      <w:r>
        <w:rPr>
          <w:rFonts w:hint="eastAsia" w:ascii="仿宋_GB2312" w:hAnsi="仿宋_GB2312" w:eastAsia="仿宋_GB2312" w:cs="仿宋_GB2312"/>
          <w:kern w:val="0"/>
          <w:sz w:val="32"/>
          <w:szCs w:val="32"/>
          <w:highlight w:val="none"/>
          <w:lang w:val="en-US" w:eastAsia="zh-CN"/>
        </w:rPr>
        <w:t>排名最高的机构作为此次资管计划管理机构。</w:t>
      </w:r>
    </w:p>
    <w:p w14:paraId="42B8379D">
      <w:pPr>
        <w:ind w:firstLine="640" w:firstLineChars="200"/>
      </w:pPr>
      <w:r>
        <w:rPr>
          <w:rFonts w:hint="eastAsia" w:ascii="仿宋_GB2312" w:hAnsi="仿宋_GB2312" w:eastAsia="仿宋_GB2312" w:cs="仿宋_GB2312"/>
          <w:kern w:val="0"/>
          <w:sz w:val="32"/>
          <w:szCs w:val="32"/>
          <w:highlight w:val="none"/>
          <w:lang w:val="en-US" w:eastAsia="zh-CN"/>
        </w:rPr>
        <w:t>以上入选结果对外公示。公示后鑫融公司办理后续相关手续，包括但不限于开立证券账户、签订协议、投资打款等。</w:t>
      </w:r>
      <w:bookmarkStart w:id="2" w:name="_GoBack"/>
      <w:bookmarkEnd w:id="2"/>
    </w:p>
    <w:p w14:paraId="7CCF3E4F"/>
    <w:p w14:paraId="5D64E560">
      <w:pPr>
        <w:spacing w:line="580" w:lineRule="exact"/>
        <w:rPr>
          <w:rFonts w:hint="eastAsia" w:ascii="仿宋_GB2312" w:hAnsi="仿宋_GB2312" w:eastAsia="仿宋_GB2312" w:cs="仿宋_GB2312"/>
          <w:sz w:val="32"/>
          <w:szCs w:val="32"/>
          <w:highlight w:val="none"/>
        </w:rPr>
      </w:pPr>
    </w:p>
    <w:p w14:paraId="79D6FAB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10" w:beforeAutospacing="0" w:after="84" w:afterAutospacing="0" w:line="580" w:lineRule="exact"/>
        <w:ind w:right="0" w:rightChars="0"/>
        <w:jc w:val="left"/>
        <w:textAlignment w:val="auto"/>
        <w:rPr>
          <w:rFonts w:hint="eastAsia" w:ascii="仿宋_GB2312" w:hAnsi="仿宋_GB2312" w:eastAsia="仿宋_GB2312" w:cs="仿宋_GB2312"/>
          <w:color w:val="1A1A1A"/>
          <w:sz w:val="32"/>
          <w:szCs w:val="32"/>
          <w:highlight w:val="none"/>
          <w:lang w:val="en-US" w:eastAsia="zh-CN"/>
        </w:rPr>
      </w:pPr>
    </w:p>
    <w:p w14:paraId="60F2CE4E">
      <w:pPr>
        <w:ind w:firstLine="640" w:firstLineChars="200"/>
        <w:rPr>
          <w:rFonts w:hint="eastAsia" w:ascii="仿宋_GB2312" w:hAnsi="仿宋_GB2312" w:eastAsia="仿宋_GB2312" w:cs="仿宋_GB2312"/>
          <w:sz w:val="32"/>
          <w:szCs w:val="32"/>
          <w:lang w:eastAsia="zh-CN"/>
        </w:rPr>
      </w:pPr>
    </w:p>
    <w:p w14:paraId="5AD5AA03">
      <w:pPr>
        <w:rPr>
          <w:rFonts w:hint="eastAsia"/>
        </w:rPr>
      </w:pPr>
    </w:p>
    <w:p w14:paraId="3AD34C03">
      <w:pPr>
        <w:rPr>
          <w:rFonts w:hint="eastAsia"/>
        </w:rPr>
      </w:pPr>
    </w:p>
    <w:p w14:paraId="66E77E7D"/>
    <w:sectPr>
      <w:footerReference r:id="rId3" w:type="default"/>
      <w:footerReference r:id="rId4" w:type="even"/>
      <w:pgSz w:w="11906" w:h="16838"/>
      <w:pgMar w:top="1440" w:right="1588" w:bottom="107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EBEEB">
    <w:pPr>
      <w:pStyle w:val="6"/>
      <w:framePr w:wrap="around" w:vAnchor="text" w:hAnchor="margin" w:xAlign="right" w:y="1"/>
      <w:rPr>
        <w:rStyle w:val="10"/>
        <w:rFonts w:hint="eastAsia" w:ascii="仿宋_GB2312" w:hAnsi="宋体"/>
        <w:sz w:val="28"/>
        <w:szCs w:val="28"/>
      </w:rPr>
    </w:pPr>
    <w:r>
      <w:rPr>
        <w:rStyle w:val="10"/>
        <w:rFonts w:hint="eastAsia" w:ascii="仿宋_GB2312" w:hAnsi="宋体"/>
        <w:sz w:val="28"/>
        <w:szCs w:val="28"/>
      </w:rPr>
      <w:fldChar w:fldCharType="begin"/>
    </w:r>
    <w:r>
      <w:rPr>
        <w:rStyle w:val="10"/>
        <w:rFonts w:hint="eastAsia" w:ascii="仿宋_GB2312" w:hAnsi="宋体"/>
        <w:sz w:val="28"/>
        <w:szCs w:val="28"/>
      </w:rPr>
      <w:instrText xml:space="preserve">PAGE  </w:instrText>
    </w:r>
    <w:r>
      <w:rPr>
        <w:rStyle w:val="10"/>
        <w:rFonts w:hint="eastAsia" w:ascii="仿宋_GB2312" w:hAnsi="宋体"/>
        <w:sz w:val="28"/>
        <w:szCs w:val="28"/>
      </w:rPr>
      <w:fldChar w:fldCharType="separate"/>
    </w:r>
    <w:r>
      <w:rPr>
        <w:rStyle w:val="10"/>
        <w:rFonts w:ascii="仿宋_GB2312" w:hAnsi="宋体"/>
        <w:sz w:val="28"/>
        <w:szCs w:val="28"/>
      </w:rPr>
      <w:t>- 1 -</w:t>
    </w:r>
    <w:r>
      <w:rPr>
        <w:rStyle w:val="10"/>
        <w:rFonts w:hint="eastAsia" w:ascii="仿宋_GB2312" w:hAnsi="宋体"/>
        <w:sz w:val="28"/>
        <w:szCs w:val="28"/>
      </w:rPr>
      <w:fldChar w:fldCharType="end"/>
    </w:r>
  </w:p>
  <w:p w14:paraId="4F33FA7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FBE1">
    <w:pPr>
      <w:pStyle w:val="6"/>
      <w:framePr w:wrap="around" w:vAnchor="text" w:hAnchor="page" w:x="1576" w:y="-10"/>
      <w:rPr>
        <w:rStyle w:val="10"/>
        <w:rFonts w:hint="eastAsia" w:ascii="仿宋_GB2312" w:hAnsi="宋体"/>
        <w:sz w:val="28"/>
        <w:szCs w:val="28"/>
      </w:rPr>
    </w:pPr>
    <w:r>
      <w:rPr>
        <w:rStyle w:val="10"/>
        <w:rFonts w:hint="eastAsia" w:ascii="仿宋_GB2312" w:hAnsi="宋体"/>
        <w:sz w:val="28"/>
        <w:szCs w:val="28"/>
      </w:rPr>
      <w:fldChar w:fldCharType="begin"/>
    </w:r>
    <w:r>
      <w:rPr>
        <w:rStyle w:val="10"/>
        <w:rFonts w:hint="eastAsia" w:ascii="仿宋_GB2312" w:hAnsi="宋体"/>
        <w:sz w:val="28"/>
        <w:szCs w:val="28"/>
      </w:rPr>
      <w:instrText xml:space="preserve">PAGE  </w:instrText>
    </w:r>
    <w:r>
      <w:rPr>
        <w:rStyle w:val="10"/>
        <w:rFonts w:hint="eastAsia" w:ascii="仿宋_GB2312" w:hAnsi="宋体"/>
        <w:sz w:val="28"/>
        <w:szCs w:val="28"/>
      </w:rPr>
      <w:fldChar w:fldCharType="separate"/>
    </w:r>
    <w:r>
      <w:rPr>
        <w:rStyle w:val="10"/>
        <w:rFonts w:ascii="仿宋_GB2312" w:hAnsi="宋体"/>
        <w:sz w:val="28"/>
        <w:szCs w:val="28"/>
      </w:rPr>
      <w:t>-2-</w:t>
    </w:r>
    <w:r>
      <w:rPr>
        <w:rStyle w:val="10"/>
        <w:rFonts w:hint="eastAsia" w:ascii="仿宋_GB2312" w:hAnsi="宋体"/>
        <w:sz w:val="28"/>
        <w:szCs w:val="28"/>
      </w:rPr>
      <w:fldChar w:fldCharType="end"/>
    </w:r>
  </w:p>
  <w:p w14:paraId="78DD5725">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6713B"/>
    <w:rsid w:val="00070CBA"/>
    <w:rsid w:val="00647E16"/>
    <w:rsid w:val="007646B9"/>
    <w:rsid w:val="009234B2"/>
    <w:rsid w:val="00D11D17"/>
    <w:rsid w:val="00FD30EF"/>
    <w:rsid w:val="011B30DD"/>
    <w:rsid w:val="0124690E"/>
    <w:rsid w:val="012D0E45"/>
    <w:rsid w:val="015F2A79"/>
    <w:rsid w:val="01C42075"/>
    <w:rsid w:val="01E90618"/>
    <w:rsid w:val="027D4F38"/>
    <w:rsid w:val="0326536D"/>
    <w:rsid w:val="036F5D51"/>
    <w:rsid w:val="03991F73"/>
    <w:rsid w:val="04077159"/>
    <w:rsid w:val="0449265D"/>
    <w:rsid w:val="04531D4F"/>
    <w:rsid w:val="05893345"/>
    <w:rsid w:val="06184A18"/>
    <w:rsid w:val="06576BD2"/>
    <w:rsid w:val="06813FE0"/>
    <w:rsid w:val="06895B21"/>
    <w:rsid w:val="06A27BF1"/>
    <w:rsid w:val="06BD2751"/>
    <w:rsid w:val="077D2C9A"/>
    <w:rsid w:val="0796207C"/>
    <w:rsid w:val="07982C4E"/>
    <w:rsid w:val="07A30A44"/>
    <w:rsid w:val="08322A0B"/>
    <w:rsid w:val="088268A8"/>
    <w:rsid w:val="09434873"/>
    <w:rsid w:val="096C055A"/>
    <w:rsid w:val="09E25423"/>
    <w:rsid w:val="0A121A99"/>
    <w:rsid w:val="0A2229B4"/>
    <w:rsid w:val="0A524075"/>
    <w:rsid w:val="0A5A6F62"/>
    <w:rsid w:val="0A792F3F"/>
    <w:rsid w:val="0ACB3181"/>
    <w:rsid w:val="0ACB72D3"/>
    <w:rsid w:val="0B694C2C"/>
    <w:rsid w:val="0B6C4088"/>
    <w:rsid w:val="0BFD2BED"/>
    <w:rsid w:val="0C104A3A"/>
    <w:rsid w:val="0C3E0622"/>
    <w:rsid w:val="0C8D5143"/>
    <w:rsid w:val="0D5858B5"/>
    <w:rsid w:val="0D5E5977"/>
    <w:rsid w:val="0D791448"/>
    <w:rsid w:val="0D8F5935"/>
    <w:rsid w:val="0E55597F"/>
    <w:rsid w:val="0E567C5E"/>
    <w:rsid w:val="0E617A18"/>
    <w:rsid w:val="0F220763"/>
    <w:rsid w:val="0F8A26E3"/>
    <w:rsid w:val="0FE712AB"/>
    <w:rsid w:val="0FF7726E"/>
    <w:rsid w:val="11275138"/>
    <w:rsid w:val="1136713B"/>
    <w:rsid w:val="11727F11"/>
    <w:rsid w:val="11B04D1B"/>
    <w:rsid w:val="11F8287E"/>
    <w:rsid w:val="11FB6AD7"/>
    <w:rsid w:val="120D6FAB"/>
    <w:rsid w:val="120E2D8C"/>
    <w:rsid w:val="12BD2F07"/>
    <w:rsid w:val="12DA11F2"/>
    <w:rsid w:val="12E810A8"/>
    <w:rsid w:val="13324355"/>
    <w:rsid w:val="133B797A"/>
    <w:rsid w:val="13745098"/>
    <w:rsid w:val="13943B06"/>
    <w:rsid w:val="13986460"/>
    <w:rsid w:val="140E748E"/>
    <w:rsid w:val="142E1794"/>
    <w:rsid w:val="14534BD7"/>
    <w:rsid w:val="14701CF3"/>
    <w:rsid w:val="149F0818"/>
    <w:rsid w:val="14A213A9"/>
    <w:rsid w:val="151B4E8F"/>
    <w:rsid w:val="153731F7"/>
    <w:rsid w:val="15471E77"/>
    <w:rsid w:val="15DC0C7E"/>
    <w:rsid w:val="16187C29"/>
    <w:rsid w:val="16D416A6"/>
    <w:rsid w:val="171B49D6"/>
    <w:rsid w:val="17270801"/>
    <w:rsid w:val="17427D92"/>
    <w:rsid w:val="17A45C71"/>
    <w:rsid w:val="18050561"/>
    <w:rsid w:val="187B547C"/>
    <w:rsid w:val="188250A7"/>
    <w:rsid w:val="189F2ED9"/>
    <w:rsid w:val="18BD02BC"/>
    <w:rsid w:val="18C06550"/>
    <w:rsid w:val="192174C5"/>
    <w:rsid w:val="192D77D7"/>
    <w:rsid w:val="19AC2F5D"/>
    <w:rsid w:val="19EF142C"/>
    <w:rsid w:val="1A8926FC"/>
    <w:rsid w:val="1ACC2FDF"/>
    <w:rsid w:val="1B195943"/>
    <w:rsid w:val="1B20330C"/>
    <w:rsid w:val="1B2E4517"/>
    <w:rsid w:val="1B6E5D89"/>
    <w:rsid w:val="1B87275F"/>
    <w:rsid w:val="1BAE48E3"/>
    <w:rsid w:val="1BFF4056"/>
    <w:rsid w:val="1C2E641F"/>
    <w:rsid w:val="1C8D5A2B"/>
    <w:rsid w:val="1D29343D"/>
    <w:rsid w:val="1D6162A2"/>
    <w:rsid w:val="1D723458"/>
    <w:rsid w:val="1DF832B8"/>
    <w:rsid w:val="1E42690B"/>
    <w:rsid w:val="1E694B38"/>
    <w:rsid w:val="1EAF2770"/>
    <w:rsid w:val="1EC87652"/>
    <w:rsid w:val="1F0361F4"/>
    <w:rsid w:val="1F9756D9"/>
    <w:rsid w:val="20447DCA"/>
    <w:rsid w:val="218F29AC"/>
    <w:rsid w:val="219A20FF"/>
    <w:rsid w:val="22232A24"/>
    <w:rsid w:val="227D254F"/>
    <w:rsid w:val="228765E4"/>
    <w:rsid w:val="22D93CAC"/>
    <w:rsid w:val="23104F67"/>
    <w:rsid w:val="23191099"/>
    <w:rsid w:val="23FE0C3B"/>
    <w:rsid w:val="240C1D99"/>
    <w:rsid w:val="244E6FD9"/>
    <w:rsid w:val="261847E1"/>
    <w:rsid w:val="2659575E"/>
    <w:rsid w:val="265F472B"/>
    <w:rsid w:val="26A107FA"/>
    <w:rsid w:val="26D015E8"/>
    <w:rsid w:val="26FE23A0"/>
    <w:rsid w:val="270836FA"/>
    <w:rsid w:val="27FB071D"/>
    <w:rsid w:val="288E069C"/>
    <w:rsid w:val="2A0270C0"/>
    <w:rsid w:val="2A1F4DFC"/>
    <w:rsid w:val="2A823648"/>
    <w:rsid w:val="2A8322C5"/>
    <w:rsid w:val="2B234D2F"/>
    <w:rsid w:val="2BD01E93"/>
    <w:rsid w:val="2C2E07B9"/>
    <w:rsid w:val="2D4A18DC"/>
    <w:rsid w:val="2DF1039C"/>
    <w:rsid w:val="2E3D0446"/>
    <w:rsid w:val="2FA116F7"/>
    <w:rsid w:val="2FBA3DD7"/>
    <w:rsid w:val="2FD65DBC"/>
    <w:rsid w:val="30BD1257"/>
    <w:rsid w:val="31804B74"/>
    <w:rsid w:val="31EA1802"/>
    <w:rsid w:val="31FC0D36"/>
    <w:rsid w:val="320756AD"/>
    <w:rsid w:val="32CE04CA"/>
    <w:rsid w:val="333A5918"/>
    <w:rsid w:val="336D242D"/>
    <w:rsid w:val="33E72C70"/>
    <w:rsid w:val="347646DC"/>
    <w:rsid w:val="356805DB"/>
    <w:rsid w:val="35A23772"/>
    <w:rsid w:val="35D344DD"/>
    <w:rsid w:val="35EC7DD5"/>
    <w:rsid w:val="361F2513"/>
    <w:rsid w:val="369D4910"/>
    <w:rsid w:val="36A50AE5"/>
    <w:rsid w:val="3715273B"/>
    <w:rsid w:val="3779760F"/>
    <w:rsid w:val="37F06481"/>
    <w:rsid w:val="38410C50"/>
    <w:rsid w:val="38B648D2"/>
    <w:rsid w:val="38BF1415"/>
    <w:rsid w:val="38C66035"/>
    <w:rsid w:val="39612688"/>
    <w:rsid w:val="397B439D"/>
    <w:rsid w:val="399041E2"/>
    <w:rsid w:val="3A5A3F90"/>
    <w:rsid w:val="3AEC6DE4"/>
    <w:rsid w:val="3B0E19DE"/>
    <w:rsid w:val="3B7E4428"/>
    <w:rsid w:val="3BC447FF"/>
    <w:rsid w:val="3C5070FE"/>
    <w:rsid w:val="3C8907DA"/>
    <w:rsid w:val="3D8F6490"/>
    <w:rsid w:val="3EDD7F6D"/>
    <w:rsid w:val="3EFF4176"/>
    <w:rsid w:val="3F29217A"/>
    <w:rsid w:val="40574131"/>
    <w:rsid w:val="40E255B2"/>
    <w:rsid w:val="40E60E89"/>
    <w:rsid w:val="412609BC"/>
    <w:rsid w:val="41921825"/>
    <w:rsid w:val="41C55D84"/>
    <w:rsid w:val="42182ACB"/>
    <w:rsid w:val="428D18D1"/>
    <w:rsid w:val="42957356"/>
    <w:rsid w:val="432845C2"/>
    <w:rsid w:val="43727345"/>
    <w:rsid w:val="439217D4"/>
    <w:rsid w:val="43AD6274"/>
    <w:rsid w:val="44214311"/>
    <w:rsid w:val="444B4B2A"/>
    <w:rsid w:val="448A6FF3"/>
    <w:rsid w:val="44E36210"/>
    <w:rsid w:val="44E46163"/>
    <w:rsid w:val="452D5605"/>
    <w:rsid w:val="461B6E88"/>
    <w:rsid w:val="476B43AE"/>
    <w:rsid w:val="47940319"/>
    <w:rsid w:val="4825619B"/>
    <w:rsid w:val="486B4E81"/>
    <w:rsid w:val="488A761C"/>
    <w:rsid w:val="48B6038F"/>
    <w:rsid w:val="48FD060A"/>
    <w:rsid w:val="496F3E93"/>
    <w:rsid w:val="4A225A9D"/>
    <w:rsid w:val="4B4E3536"/>
    <w:rsid w:val="4B7718B2"/>
    <w:rsid w:val="4B7B28AF"/>
    <w:rsid w:val="4BC234D2"/>
    <w:rsid w:val="4BDF5B4B"/>
    <w:rsid w:val="4C272042"/>
    <w:rsid w:val="4C361A7F"/>
    <w:rsid w:val="4CDF200C"/>
    <w:rsid w:val="4CEB086F"/>
    <w:rsid w:val="4CEB401C"/>
    <w:rsid w:val="4D18235C"/>
    <w:rsid w:val="4D494140"/>
    <w:rsid w:val="4D4A1AF1"/>
    <w:rsid w:val="4E766588"/>
    <w:rsid w:val="4E8E2841"/>
    <w:rsid w:val="4F2B3518"/>
    <w:rsid w:val="4FE15D83"/>
    <w:rsid w:val="50107CCC"/>
    <w:rsid w:val="50441107"/>
    <w:rsid w:val="50DB0848"/>
    <w:rsid w:val="51216A7D"/>
    <w:rsid w:val="5191114F"/>
    <w:rsid w:val="51B13688"/>
    <w:rsid w:val="51B64581"/>
    <w:rsid w:val="534C59B7"/>
    <w:rsid w:val="538364EB"/>
    <w:rsid w:val="54226E19"/>
    <w:rsid w:val="542E75AA"/>
    <w:rsid w:val="54AA6F8B"/>
    <w:rsid w:val="54B55E77"/>
    <w:rsid w:val="54C8640C"/>
    <w:rsid w:val="54E25BD1"/>
    <w:rsid w:val="551E6B4D"/>
    <w:rsid w:val="55283D85"/>
    <w:rsid w:val="553B616C"/>
    <w:rsid w:val="559D63A9"/>
    <w:rsid w:val="564465D9"/>
    <w:rsid w:val="56C9076B"/>
    <w:rsid w:val="577040A1"/>
    <w:rsid w:val="57D56269"/>
    <w:rsid w:val="58033D92"/>
    <w:rsid w:val="599D0013"/>
    <w:rsid w:val="59C14A5C"/>
    <w:rsid w:val="59CF74A0"/>
    <w:rsid w:val="5A032C72"/>
    <w:rsid w:val="5A32239A"/>
    <w:rsid w:val="5A396F9C"/>
    <w:rsid w:val="5A531C7C"/>
    <w:rsid w:val="5A8606FD"/>
    <w:rsid w:val="5B2D530A"/>
    <w:rsid w:val="5B7148D3"/>
    <w:rsid w:val="5B885CB3"/>
    <w:rsid w:val="5BB06864"/>
    <w:rsid w:val="5BED3B2B"/>
    <w:rsid w:val="5C946251"/>
    <w:rsid w:val="5CFA598C"/>
    <w:rsid w:val="5D075DC1"/>
    <w:rsid w:val="5D0826F3"/>
    <w:rsid w:val="5D4E3D79"/>
    <w:rsid w:val="5DB83D79"/>
    <w:rsid w:val="5DEE3A3E"/>
    <w:rsid w:val="5E436C40"/>
    <w:rsid w:val="5EC07D29"/>
    <w:rsid w:val="5ED56948"/>
    <w:rsid w:val="5EDA1100"/>
    <w:rsid w:val="5EDA4754"/>
    <w:rsid w:val="5EFE1F1F"/>
    <w:rsid w:val="5F39444D"/>
    <w:rsid w:val="5F5933C6"/>
    <w:rsid w:val="5F691292"/>
    <w:rsid w:val="5F883EF2"/>
    <w:rsid w:val="5FE40327"/>
    <w:rsid w:val="61346009"/>
    <w:rsid w:val="615E2AF3"/>
    <w:rsid w:val="620C3FB7"/>
    <w:rsid w:val="626B07A7"/>
    <w:rsid w:val="62BB5D17"/>
    <w:rsid w:val="62C23E0F"/>
    <w:rsid w:val="63EE575D"/>
    <w:rsid w:val="64217630"/>
    <w:rsid w:val="64B47B4D"/>
    <w:rsid w:val="64BB32E9"/>
    <w:rsid w:val="652C12F7"/>
    <w:rsid w:val="65630A73"/>
    <w:rsid w:val="661E56AD"/>
    <w:rsid w:val="667E2AF9"/>
    <w:rsid w:val="6720290A"/>
    <w:rsid w:val="672A32C3"/>
    <w:rsid w:val="674B6823"/>
    <w:rsid w:val="67656DCD"/>
    <w:rsid w:val="676F2880"/>
    <w:rsid w:val="67746358"/>
    <w:rsid w:val="680D3352"/>
    <w:rsid w:val="68BD435E"/>
    <w:rsid w:val="68EC4341"/>
    <w:rsid w:val="693F39CE"/>
    <w:rsid w:val="69A92930"/>
    <w:rsid w:val="69D96DFE"/>
    <w:rsid w:val="6A297973"/>
    <w:rsid w:val="6AD76723"/>
    <w:rsid w:val="6AEC06CF"/>
    <w:rsid w:val="6B161B70"/>
    <w:rsid w:val="6BA15C50"/>
    <w:rsid w:val="6BE82BB8"/>
    <w:rsid w:val="6BEE6DCE"/>
    <w:rsid w:val="6BF66245"/>
    <w:rsid w:val="6C5A2A7E"/>
    <w:rsid w:val="6CB76D1E"/>
    <w:rsid w:val="6CE348BB"/>
    <w:rsid w:val="6CE65606"/>
    <w:rsid w:val="6CF73056"/>
    <w:rsid w:val="6DB02DBE"/>
    <w:rsid w:val="6DF81282"/>
    <w:rsid w:val="6E130C17"/>
    <w:rsid w:val="6E326BDB"/>
    <w:rsid w:val="6EA57465"/>
    <w:rsid w:val="6EF8489B"/>
    <w:rsid w:val="6F547DC8"/>
    <w:rsid w:val="6FCB18AC"/>
    <w:rsid w:val="70FC4A04"/>
    <w:rsid w:val="71006E53"/>
    <w:rsid w:val="710476BA"/>
    <w:rsid w:val="7152100C"/>
    <w:rsid w:val="71881B65"/>
    <w:rsid w:val="721275BF"/>
    <w:rsid w:val="728D3CD7"/>
    <w:rsid w:val="72E0003B"/>
    <w:rsid w:val="731073E3"/>
    <w:rsid w:val="73131D48"/>
    <w:rsid w:val="731B207C"/>
    <w:rsid w:val="734B5E65"/>
    <w:rsid w:val="737B361E"/>
    <w:rsid w:val="73920A1D"/>
    <w:rsid w:val="741F3777"/>
    <w:rsid w:val="742E3E0C"/>
    <w:rsid w:val="755A721E"/>
    <w:rsid w:val="75631075"/>
    <w:rsid w:val="756D5BB8"/>
    <w:rsid w:val="757C0BF0"/>
    <w:rsid w:val="75B14446"/>
    <w:rsid w:val="762C205D"/>
    <w:rsid w:val="76413E35"/>
    <w:rsid w:val="768723FD"/>
    <w:rsid w:val="771114D3"/>
    <w:rsid w:val="775B698E"/>
    <w:rsid w:val="779B0DA5"/>
    <w:rsid w:val="782B4C23"/>
    <w:rsid w:val="78FC761A"/>
    <w:rsid w:val="78FD6988"/>
    <w:rsid w:val="79096B71"/>
    <w:rsid w:val="79535412"/>
    <w:rsid w:val="798E3747"/>
    <w:rsid w:val="79A87DFD"/>
    <w:rsid w:val="79DE7BB4"/>
    <w:rsid w:val="7ABA2072"/>
    <w:rsid w:val="7B141283"/>
    <w:rsid w:val="7B3E558D"/>
    <w:rsid w:val="7B93777D"/>
    <w:rsid w:val="7BD53F3A"/>
    <w:rsid w:val="7C341E35"/>
    <w:rsid w:val="7C547522"/>
    <w:rsid w:val="7C5522C3"/>
    <w:rsid w:val="7C5C1F6F"/>
    <w:rsid w:val="7C995667"/>
    <w:rsid w:val="7CBC36B6"/>
    <w:rsid w:val="7D021359"/>
    <w:rsid w:val="7D5E7792"/>
    <w:rsid w:val="7D986844"/>
    <w:rsid w:val="7DA70B46"/>
    <w:rsid w:val="7E5D4669"/>
    <w:rsid w:val="7F071CD9"/>
    <w:rsid w:val="7F0E7CA9"/>
    <w:rsid w:val="7F256756"/>
    <w:rsid w:val="7F386310"/>
    <w:rsid w:val="7F7C4265"/>
    <w:rsid w:val="7F937ED9"/>
    <w:rsid w:val="7FFA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480"/>
    </w:pPr>
    <w:rPr>
      <w:rFonts w:ascii="Times New Roman" w:hAnsi="Times New Roman" w:eastAsia="宋体" w:cs="Times New Roman"/>
      <w:sz w:val="24"/>
      <w:szCs w:val="20"/>
    </w:rPr>
  </w:style>
  <w:style w:type="paragraph" w:styleId="6">
    <w:name w:val="footer"/>
    <w:basedOn w:val="1"/>
    <w:qFormat/>
    <w:uiPriority w:val="0"/>
    <w:pPr>
      <w:tabs>
        <w:tab w:val="center" w:pos="4153"/>
        <w:tab w:val="right" w:pos="8306"/>
      </w:tabs>
      <w:snapToGrid w:val="0"/>
      <w:jc w:val="left"/>
    </w:pPr>
    <w:rPr>
      <w:rFonts w:eastAsia="仿宋_GB2312"/>
      <w:sz w:val="18"/>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1557</Words>
  <Characters>1592</Characters>
  <Lines>0</Lines>
  <Paragraphs>0</Paragraphs>
  <TotalTime>4</TotalTime>
  <ScaleCrop>false</ScaleCrop>
  <LinksUpToDate>false</LinksUpToDate>
  <CharactersWithSpaces>1592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2025-12-24T08:51:00Z</dcterms:created>
  <dc:creator>谢佳茜</dc:creator>
  <cp:lastModifiedBy>谢鑫</cp:lastModifiedBy>
  <cp:lastPrinted>2026-05-25T10:03:00Z</cp:lastPrinted>
  <dcterms:modified xsi:type="dcterms:W3CDTF">2026-05-27T01:48:50Z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eyJoZGlkIjoiMmEwOGQyNWI4NTZlZTllZTA5ZmJhZjQyMjJiNzJjNWQiLCJ1c2VySWQiOiIxNTQzMzI0MDYzIn0=</vt:lpwstr>
  </property>
  <property fmtid="{D5CDD505-2E9C-101B-9397-08002B2CF9AE}" pid="4" name="ICV">
    <vt:lpwstr>1D0EA20BB67B4951838DD255960E7270_13</vt:lpwstr>
  </property>
</Properties>
</file>