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single"/>
          <w:lang w:eastAsia="zh-CN"/>
        </w:rPr>
        <w:t>龙工大厦消防维保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single"/>
        </w:rPr>
        <w:t>服务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选取文件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</w:t>
      </w:r>
      <w:r>
        <w:rPr>
          <w:rFonts w:hint="eastAsia" w:ascii="仿宋_GB2312" w:hAnsi="仿宋_GB2312" w:eastAsia="仿宋_GB2312" w:cs="仿宋_GB2312"/>
          <w:sz w:val="32"/>
          <w:szCs w:val="32"/>
        </w:rPr>
        <w:t>选字【202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龙岩城发物业有限公司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第一章 邀 请 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编号：（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</w:t>
      </w:r>
      <w:r>
        <w:rPr>
          <w:rFonts w:hint="eastAsia" w:ascii="仿宋" w:hAnsi="仿宋" w:eastAsia="仿宋" w:cs="仿宋"/>
          <w:sz w:val="32"/>
          <w:szCs w:val="32"/>
        </w:rPr>
        <w:t>选字【202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消防维保企业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为做好龙岩城发物业有限公司（需方）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龙工大厦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消防维保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工作，经公司研究，决定采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shd w:val="clear" w:color="auto" w:fill="auto"/>
          <w:lang w:val="en-US" w:eastAsia="zh-CN"/>
        </w:rPr>
        <w:t>低价中标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选取的方式确定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龙工大厦消防维保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服务企业，现真诚邀请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有资质的消防维保企业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企业（以下简称供方）参与本次活动。有关选取事宜如下：</w:t>
      </w:r>
    </w:p>
    <w:p>
      <w:pPr>
        <w:tabs>
          <w:tab w:val="left" w:pos="3597"/>
        </w:tabs>
        <w:ind w:firstLine="643" w:firstLineChars="200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0" w:name="_Toc272245889"/>
      <w:bookmarkStart w:id="1" w:name="_Toc257911916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一、选取项目</w:t>
      </w:r>
      <w:bookmarkEnd w:id="0"/>
      <w:bookmarkEnd w:id="1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eastAsia="zh-CN"/>
        </w:rPr>
        <w:t>龙工大厦消防维保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服务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企业的选取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项目规模：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龙工大厦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位于龙岩市新罗区龙岩大道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总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面积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 w:bidi="en-US"/>
        </w:rPr>
        <w:t>74774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平方米。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（以规划验收文件为准）。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服务期限：叁年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</w:t>
      </w:r>
      <w:r>
        <w:rPr>
          <w:rFonts w:hint="eastAsia" w:ascii="仿宋" w:hAnsi="仿宋" w:eastAsia="仿宋" w:cs="仿宋"/>
          <w:sz w:val="32"/>
          <w:szCs w:val="32"/>
        </w:rPr>
        <w:t>选字【202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ind w:firstLine="643" w:firstLineChars="200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2" w:name="_Toc272245890"/>
      <w:bookmarkStart w:id="3" w:name="_Toc257911917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二、供应商资格条件</w:t>
      </w:r>
      <w:bookmarkEnd w:id="2"/>
      <w:bookmarkEnd w:id="3"/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在福建消防技术服务信息平台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消防维护保养检测评定四星及以上和消防安全评估评定三星及以上。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2、具有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福建消防技术服务信息平台使用权限，招标期间、签订合同前不在福建消防技术服务信息平台“暂不予以恢复信息平台使用权限机构名单”内。</w:t>
      </w:r>
    </w:p>
    <w:p>
      <w:pPr>
        <w:ind w:firstLine="640" w:firstLineChars="200"/>
        <w:outlineLvl w:val="1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3、在龙岩区域内有维保火灾高危单位业绩。</w:t>
      </w:r>
    </w:p>
    <w:p>
      <w:pPr>
        <w:ind w:firstLine="643" w:firstLineChars="200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三、</w:t>
      </w:r>
      <w:bookmarkStart w:id="4" w:name="_Toc272245893"/>
      <w:bookmarkStart w:id="5" w:name="_Toc25791192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报名领取时间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以开标时间按时到场为准，选取文件将以电子邮件的方式发送至各单位联系邮箱或者现场领取。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四、选取时间、地点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日1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:00（准点开始，过点不予入场），在龙岩市商务运营中心龙工大厦14楼1402室龙岩城发物业有限公司会议室。</w:t>
      </w:r>
    </w:p>
    <w:bookmarkEnd w:id="4"/>
    <w:bookmarkEnd w:id="5"/>
    <w:p>
      <w:pPr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五、选取方式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按招标人要求的维保方式，符合招标人验收标准，低价中标。</w:t>
      </w:r>
    </w:p>
    <w:p>
      <w:pPr>
        <w:ind w:firstLine="643" w:firstLineChars="200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六、联络方式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需方:龙岩城发物业有限公司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郭卫航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13959021755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  址：龙岩市商务运营中心龙工大厦14楼140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bookmarkStart w:id="16" w:name="_GoBack"/>
      <w:bookmarkEnd w:id="16"/>
      <w:r>
        <w:rPr>
          <w:rFonts w:hint="eastAsia" w:ascii="仿宋" w:hAnsi="仿宋" w:eastAsia="仿宋" w:cs="仿宋"/>
          <w:color w:val="000000"/>
          <w:sz w:val="32"/>
          <w:szCs w:val="32"/>
        </w:rPr>
        <w:t>室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p>
      <w:pPr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龙岩城发物业有限公司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19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第二章 项目基本情况及要求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一、项目名称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6" w:name="_Toc271711735"/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eastAsia="zh-CN"/>
        </w:rPr>
        <w:t>龙工大厦消防维保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服务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二、项目</w:t>
      </w:r>
      <w:bookmarkEnd w:id="6"/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规模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bookmarkStart w:id="7" w:name="_Toc271711736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龙工大厦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位于龙岩市新罗区龙岩大道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总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面积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 w:bidi="en-US"/>
        </w:rPr>
        <w:t>74774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平方米。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（以规划验收文件为准）。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三、</w:t>
      </w:r>
      <w:bookmarkEnd w:id="7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维保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要求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《建筑消防设施维护管理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GB25201-2010》要求进行维护，维保记录按要求上传主管单位。</w:t>
      </w:r>
    </w:p>
    <w:p>
      <w:pPr>
        <w:spacing w:line="500" w:lineRule="exact"/>
        <w:ind w:firstLine="320" w:firstLineChars="1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2、单个200元内配件（附清单）由供方承担。</w:t>
      </w:r>
    </w:p>
    <w:p>
      <w:pPr>
        <w:pStyle w:val="2"/>
        <w:ind w:left="0" w:leftChars="0"/>
        <w:jc w:val="center"/>
        <w:rPr>
          <w:rFonts w:hint="eastAsia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</w:t>
      </w:r>
      <w:r>
        <w:rPr>
          <w:rFonts w:hint="eastAsia"/>
          <w:b/>
          <w:bCs w:val="0"/>
          <w:sz w:val="24"/>
          <w:szCs w:val="24"/>
        </w:rPr>
        <w:t>消防系统设备常用零配件</w:t>
      </w:r>
      <w:r>
        <w:rPr>
          <w:rFonts w:hint="eastAsia"/>
          <w:b/>
          <w:bCs w:val="0"/>
          <w:sz w:val="24"/>
          <w:szCs w:val="24"/>
          <w:lang w:eastAsia="zh-CN"/>
        </w:rPr>
        <w:t>（</w:t>
      </w:r>
      <w:r>
        <w:rPr>
          <w:rFonts w:hint="eastAsia"/>
          <w:b/>
          <w:bCs w:val="0"/>
          <w:sz w:val="24"/>
          <w:szCs w:val="24"/>
          <w:lang w:val="en-US" w:eastAsia="zh-CN"/>
        </w:rPr>
        <w:t>200元内</w:t>
      </w:r>
      <w:r>
        <w:rPr>
          <w:rFonts w:hint="eastAsia"/>
          <w:b/>
          <w:bCs w:val="0"/>
          <w:sz w:val="24"/>
          <w:szCs w:val="24"/>
          <w:lang w:eastAsia="zh-CN"/>
        </w:rPr>
        <w:t>）</w:t>
      </w:r>
      <w:r>
        <w:rPr>
          <w:rFonts w:hint="eastAsia"/>
          <w:b/>
          <w:bCs w:val="0"/>
          <w:sz w:val="24"/>
          <w:szCs w:val="24"/>
        </w:rPr>
        <w:t>价格清单</w:t>
      </w:r>
    </w:p>
    <w:p>
      <w:pPr>
        <w:rPr>
          <w:rFonts w:hint="eastAsia" w:ascii="宋体" w:hAnsi="宋体" w:eastAsia="宋体" w:cs="宋体"/>
          <w:sz w:val="40"/>
          <w:szCs w:val="28"/>
        </w:rPr>
      </w:pPr>
    </w:p>
    <w:tbl>
      <w:tblPr>
        <w:tblStyle w:val="4"/>
        <w:tblW w:w="87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400"/>
        <w:gridCol w:w="2783"/>
        <w:gridCol w:w="1782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配件名称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品牌/型号/规格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烟感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利达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温感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利达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手报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利达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模块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利达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消火栓按钮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利达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压力表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手动报警器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利达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8" w:name="_Toc122750636"/>
      <w:bookmarkStart w:id="9" w:name="_Toc122257614"/>
      <w:bookmarkStart w:id="10" w:name="_Toc272245901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第三章   申请人须知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一、供方资质</w:t>
      </w:r>
      <w:bookmarkEnd w:id="8"/>
      <w:bookmarkEnd w:id="9"/>
      <w:bookmarkEnd w:id="1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合格的供方应符合下列条件：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在福建消防技术服务信息平台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消防维护保养检测评定四星及以上和消防安全评估评定三星及以上。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2、具有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福建消防技术服务信息平台使用权限，招标期间不在福建消防技术服务信息平台“暂不予以恢复信息平台使用权限机构名单”内。</w:t>
      </w:r>
    </w:p>
    <w:p>
      <w:pPr>
        <w:ind w:firstLine="640" w:firstLineChars="200"/>
        <w:outlineLvl w:val="1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3、在龙岩区域内有维保火灾高危单位业绩。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二、申请文件应包括下列内容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（一）法定代表人身份证明及法人身份证复印件；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（二）代表人授权委托的，需提供授权委托书及法人、被授权人身份证复印件）；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（三）参加比选活动申请书。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（四）营业执照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福建消防技术服务信息平台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消防维护保养检测和消防安全评估评定截图证明。</w:t>
      </w:r>
    </w:p>
    <w:p>
      <w:pPr>
        <w:ind w:firstLine="640" w:firstLineChars="200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（六）招标期间未在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福建消防技术服务信息平台“暂不予以恢复信息平台使用权限机构名单”内承诺书。</w:t>
      </w:r>
    </w:p>
    <w:p>
      <w:pPr>
        <w:ind w:firstLine="640" w:firstLineChars="200"/>
        <w:outlineLvl w:val="1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（七）提供龙岩区域内维保火灾高危单位业绩证明。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以上材料，须加盖单位公章。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未按以上要求提供有关资料的按废标处理；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三、选取程序：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（一）公布在选取截止时间前递交选取文件的选取人名称，并点名确认申请人是否派人到场；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（二）宣布见证人、评委等有关人员姓名；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比选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后，申请人、选取人、见证人、评委等有关人员在选取记录上签字确认；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（四）选取结束。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四、其他规定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（一）中选通知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选取人确定中选人后，将在我公司公告栏公示3天，公示结束后，选取人将按规定以书面形式通知中选人。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（二）签订《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龙工大厦消防维保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服务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中选人应当自中选通知书发出之日起7天内，根据选取文件和中选人的申请文件转入履约保证金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15000元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，并订立书面合同。中选人无正当理由拒签或延迟签订合同，选取人有权取消其中标资格，并记不良记录。中选人放弃中标、不能按时派遣相关服务人员的、或因不可抗力不能履行合同，需方将从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参与投标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其它企业中选取。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第四章  选取文件格式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11" w:name="_Toc272245915"/>
      <w:bookmarkStart w:id="12" w:name="_Toc12275065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一、</w:t>
      </w:r>
      <w:bookmarkEnd w:id="11"/>
      <w:bookmarkEnd w:id="1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龙岩城发物业有限公司：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我方收到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（选取项目名称）招标文件，经详细研究，决定参加该项目的选取。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1、我方全面研究了选取文件，并能够正确理解其全部内容。我方符合选取文件中的各项要求。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2、我方现提交的选取文件为：选取文件的投标申请书。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3、我方完全同意选取文件中规定的选取方法；愿意自行承担我方在参与此次选取活动过程中所发生的一切费用。</w:t>
      </w:r>
    </w:p>
    <w:p>
      <w:pPr>
        <w:spacing w:line="560" w:lineRule="exact"/>
        <w:ind w:left="958" w:leftChars="304" w:hanging="320" w:hangingChars="100"/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4、我方报价：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元/平方米/年，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 w:bidi="en-US"/>
        </w:rPr>
        <w:t>74774平方米，合计</w:t>
      </w:r>
    </w:p>
    <w:p>
      <w:pPr>
        <w:spacing w:line="560" w:lineRule="exact"/>
        <w:ind w:left="958" w:leftChars="304" w:hanging="320" w:hangingChars="100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 w:bidi="en-US"/>
        </w:rPr>
        <w:t xml:space="preserve">       元/年含税，大写：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如果我方中标，我方将履行选取文件中规定的各项要求，按中华人民共和国政有关法律法规和合同约定条款承担我方的责任。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我方愿意提供需方单位在选取文件中要求的所有资料，并对其真实性负责。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供方（公章）：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                  传真：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网址：</w:t>
      </w:r>
    </w:p>
    <w:p>
      <w:pPr>
        <w:spacing w:line="560" w:lineRule="exact"/>
        <w:ind w:firstLine="6080" w:firstLineChars="19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二、供方法定代表人身份证明书（格式）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项目名称：       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   期：       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龙岩城发物业有限公司：</w:t>
      </w:r>
    </w:p>
    <w:p>
      <w:pPr>
        <w:spacing w:line="560" w:lineRule="exact"/>
        <w:ind w:firstLine="960" w:firstLineChars="3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（法定代表人姓名）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在                      公司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（供方名称）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任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（职务名称）职务，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是                         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（供方名称）的法定代表人。</w:t>
      </w:r>
    </w:p>
    <w:p>
      <w:pPr>
        <w:spacing w:line="560" w:lineRule="exact"/>
        <w:ind w:firstLine="960" w:firstLineChars="3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（公章）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</w:t>
      </w: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年   月   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（身份证或护照复印件）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附：上述法定代表人住址：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电    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邮政编码：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三、供方法定代表人授权委托书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项目名称：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   期：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龙岩城发物业有限公司：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（供方名称）是中华人民共和国合法企业，法定代表人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（供方法定代表人姓名）特授权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（被授权人姓名）身份证号码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代表我单位全权办理对上述项目的投标、谈判、签约等具体工作，并签署全部有关的文件、协议及合同。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我单位对被授权人的签名负全部责任。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在撤消授权的书面通知以前，本授权书一直有效。被授权人签署的所有文件（在授权书有效期内签署的）不因授权的撤消而失效。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被授权人签名：             供方法定代表人签名：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职  务：                         职  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（身份证或护照复印件）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投标人公章：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3" w:name="_Toc122257640"/>
      <w:bookmarkStart w:id="14" w:name="_Toc122750662"/>
      <w:bookmarkStart w:id="15" w:name="_Toc27224592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年    月   日</w:t>
      </w:r>
    </w:p>
    <w:bookmarkEnd w:id="13"/>
    <w:bookmarkEnd w:id="14"/>
    <w:bookmarkEnd w:id="15"/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ind w:left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承诺书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龙岩城发物业有限公司：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我司承诺，如我司中标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龙工大厦消防维保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服务项目，将按照选取文件履行合同。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供方法定代表人签名：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职  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投标人公章：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年    月   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outlineLvl w:val="1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588" w:bottom="107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hint="eastAsia" w:ascii="仿宋_GB2312" w:hAnsi="宋体"/>
        <w:sz w:val="28"/>
        <w:szCs w:val="28"/>
      </w:rPr>
    </w:pPr>
    <w:r>
      <w:rPr>
        <w:rFonts w:hint="eastAsia" w:ascii="仿宋_GB2312" w:hAnsi="宋体"/>
        <w:sz w:val="28"/>
        <w:szCs w:val="28"/>
      </w:rPr>
      <w:fldChar w:fldCharType="begin"/>
    </w:r>
    <w:r>
      <w:rPr>
        <w:rStyle w:val="6"/>
        <w:rFonts w:hint="eastAsia" w:ascii="仿宋_GB2312" w:hAnsi="宋体"/>
        <w:sz w:val="28"/>
        <w:szCs w:val="28"/>
      </w:rPr>
      <w:instrText xml:space="preserve">PAGE  </w:instrText>
    </w:r>
    <w:r>
      <w:rPr>
        <w:rFonts w:hint="eastAsia" w:ascii="仿宋_GB2312" w:hAnsi="宋体"/>
        <w:sz w:val="28"/>
        <w:szCs w:val="28"/>
      </w:rPr>
      <w:fldChar w:fldCharType="separate"/>
    </w:r>
    <w:r>
      <w:rPr>
        <w:rStyle w:val="6"/>
        <w:rFonts w:ascii="仿宋_GB2312" w:hAnsi="宋体"/>
        <w:sz w:val="28"/>
        <w:szCs w:val="28"/>
      </w:rPr>
      <w:t>- 24 -</w:t>
    </w:r>
    <w:r>
      <w:rPr>
        <w:rFonts w:hint="eastAsia" w:ascii="仿宋_GB2312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C6EEC"/>
    <w:rsid w:val="08906973"/>
    <w:rsid w:val="08A7152E"/>
    <w:rsid w:val="0B7F0EF5"/>
    <w:rsid w:val="0C064FA4"/>
    <w:rsid w:val="0F507D10"/>
    <w:rsid w:val="100B4B59"/>
    <w:rsid w:val="143B25DE"/>
    <w:rsid w:val="16D049B0"/>
    <w:rsid w:val="186C4018"/>
    <w:rsid w:val="18AF7454"/>
    <w:rsid w:val="193101A7"/>
    <w:rsid w:val="1D3129C2"/>
    <w:rsid w:val="21437FDD"/>
    <w:rsid w:val="2296720A"/>
    <w:rsid w:val="23021979"/>
    <w:rsid w:val="24EE055F"/>
    <w:rsid w:val="26E831BE"/>
    <w:rsid w:val="289C6EEC"/>
    <w:rsid w:val="2C6C1058"/>
    <w:rsid w:val="2F702D5B"/>
    <w:rsid w:val="31C15A30"/>
    <w:rsid w:val="329951A0"/>
    <w:rsid w:val="34576EA5"/>
    <w:rsid w:val="3A253C42"/>
    <w:rsid w:val="42E12F01"/>
    <w:rsid w:val="4A5237AA"/>
    <w:rsid w:val="4C467A1D"/>
    <w:rsid w:val="4D563849"/>
    <w:rsid w:val="4DA61E22"/>
    <w:rsid w:val="50884B88"/>
    <w:rsid w:val="55007081"/>
    <w:rsid w:val="558C4F3B"/>
    <w:rsid w:val="560F59AB"/>
    <w:rsid w:val="5EFA1BF7"/>
    <w:rsid w:val="60123FBC"/>
    <w:rsid w:val="66665FFC"/>
    <w:rsid w:val="6E0A080B"/>
    <w:rsid w:val="6F5958E5"/>
    <w:rsid w:val="703D1CAF"/>
    <w:rsid w:val="76D1123C"/>
    <w:rsid w:val="77EA1411"/>
    <w:rsid w:val="785760B7"/>
    <w:rsid w:val="79A0022E"/>
    <w:rsid w:val="7B963156"/>
    <w:rsid w:val="7CF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ind w:left="223" w:leftChars="106"/>
      <w:outlineLvl w:val="2"/>
    </w:pPr>
    <w:rPr>
      <w:rFonts w:ascii="华文细黑" w:hAnsi="华文细黑" w:eastAsia="华文细黑"/>
      <w:b/>
      <w:kern w:val="2"/>
      <w:sz w:val="2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E2700"/>
      <w:u w:val="none"/>
    </w:rPr>
  </w:style>
  <w:style w:type="character" w:styleId="8">
    <w:name w:val="Hyperlink"/>
    <w:basedOn w:val="5"/>
    <w:qFormat/>
    <w:uiPriority w:val="0"/>
    <w:rPr>
      <w:color w:val="8E2700"/>
      <w:u w:val="none"/>
    </w:rPr>
  </w:style>
  <w:style w:type="character" w:customStyle="1" w:styleId="9">
    <w:name w:val="font2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0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single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after="160"/>
      <w:ind w:firstLine="300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layui-this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14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2021-01-07T03:50:00Z</dcterms:created>
  <dc:creator>卵</dc:creator>
  <cp:lastModifiedBy>向左走向右走</cp:lastModifiedBy>
  <dcterms:modified xsi:type="dcterms:W3CDTF">2021-10-19T08:24:29Z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7B886DFC9A764FCCA52E34E84E1FBF75</vt:lpwstr>
  </property>
</Properties>
</file>